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韩浩冉</w:t>
      </w:r>
      <w:r>
        <w:rPr>
          <w:rFonts w:hint="eastAsia"/>
          <w:sz w:val="15"/>
          <w:szCs w:val="15"/>
          <w:highlight w:val="none"/>
        </w:rPr>
        <w:t>，</w:t>
      </w:r>
      <w:r>
        <w:rPr>
          <w:rFonts w:hint="eastAsia"/>
          <w:sz w:val="15"/>
          <w:szCs w:val="15"/>
          <w:highlight w:val="none"/>
          <w:lang w:val="en-US" w:eastAsia="zh-CN"/>
        </w:rPr>
        <w:t>130125200501044529</w:t>
      </w:r>
      <w:r>
        <w:rPr>
          <w:rFonts w:hint="eastAsia"/>
          <w:sz w:val="15"/>
          <w:szCs w:val="15"/>
        </w:rPr>
        <w:t xml:space="preserve">  </w:t>
      </w:r>
      <w:r>
        <w:rPr>
          <w:rFonts w:hint="eastAsia"/>
          <w:sz w:val="15"/>
          <w:szCs w:val="15"/>
          <w:lang w:val="en-US" w:eastAsia="zh-CN"/>
        </w:rPr>
        <w:t>冀A5459U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