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杨伟贺</w:t>
      </w:r>
      <w:r>
        <w:rPr>
          <w:rFonts w:hint="eastAsia"/>
          <w:sz w:val="15"/>
          <w:szCs w:val="15"/>
          <w:highlight w:val="none"/>
        </w:rPr>
        <w:t>，</w:t>
      </w:r>
      <w:r>
        <w:rPr>
          <w:rFonts w:hint="eastAsia"/>
          <w:sz w:val="15"/>
          <w:szCs w:val="15"/>
          <w:highlight w:val="none"/>
          <w:lang w:val="en-US" w:eastAsia="zh-CN"/>
        </w:rPr>
        <w:t>130125198905232016</w:t>
      </w:r>
      <w:r>
        <w:rPr>
          <w:rFonts w:hint="eastAsia"/>
          <w:sz w:val="15"/>
          <w:szCs w:val="15"/>
        </w:rPr>
        <w:t xml:space="preserve">  </w:t>
      </w:r>
      <w:r>
        <w:rPr>
          <w:rFonts w:hint="eastAsia"/>
          <w:sz w:val="15"/>
          <w:szCs w:val="15"/>
          <w:lang w:val="en-US" w:eastAsia="zh-CN"/>
        </w:rPr>
        <w:t>冀A93415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