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尤建坤</w:t>
      </w:r>
      <w:r>
        <w:rPr>
          <w:rFonts w:hint="eastAsia"/>
          <w:sz w:val="15"/>
          <w:szCs w:val="15"/>
          <w:highlight w:val="none"/>
        </w:rPr>
        <w:t>，</w:t>
      </w:r>
      <w:r>
        <w:rPr>
          <w:rFonts w:hint="eastAsia"/>
          <w:sz w:val="15"/>
          <w:szCs w:val="15"/>
          <w:highlight w:val="none"/>
          <w:lang w:val="en-US" w:eastAsia="zh-CN"/>
        </w:rPr>
        <w:t>130125198904239013</w:t>
      </w:r>
      <w:r>
        <w:rPr>
          <w:rFonts w:hint="eastAsia"/>
          <w:sz w:val="15"/>
          <w:szCs w:val="15"/>
        </w:rPr>
        <w:t xml:space="preserve">  </w:t>
      </w:r>
      <w:r>
        <w:rPr>
          <w:rFonts w:hint="eastAsia"/>
          <w:sz w:val="15"/>
          <w:szCs w:val="15"/>
          <w:lang w:val="en-US" w:eastAsia="zh-CN"/>
        </w:rPr>
        <w:t>冀A492AS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