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康龙</w:t>
      </w:r>
      <w:r>
        <w:rPr>
          <w:rFonts w:hint="eastAsia"/>
          <w:sz w:val="15"/>
          <w:szCs w:val="15"/>
          <w:highlight w:val="none"/>
        </w:rPr>
        <w:t>，</w:t>
      </w:r>
      <w:r>
        <w:rPr>
          <w:rFonts w:hint="eastAsia"/>
          <w:sz w:val="15"/>
          <w:szCs w:val="15"/>
          <w:highlight w:val="none"/>
          <w:lang w:val="en-US" w:eastAsia="zh-CN"/>
        </w:rPr>
        <w:t>130125198903022058</w:t>
      </w:r>
      <w:r>
        <w:rPr>
          <w:rFonts w:hint="eastAsia"/>
          <w:sz w:val="15"/>
          <w:szCs w:val="15"/>
        </w:rPr>
        <w:t xml:space="preserve">  </w:t>
      </w:r>
      <w:r>
        <w:rPr>
          <w:rFonts w:hint="eastAsia"/>
          <w:sz w:val="15"/>
          <w:szCs w:val="15"/>
          <w:lang w:val="en-US" w:eastAsia="zh-CN"/>
        </w:rPr>
        <w:t>冀A84718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