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李欣</w:t>
      </w:r>
      <w:r>
        <w:rPr>
          <w:rFonts w:hint="eastAsia"/>
          <w:sz w:val="15"/>
          <w:szCs w:val="15"/>
          <w:highlight w:val="none"/>
        </w:rPr>
        <w:t>，</w:t>
      </w:r>
      <w:r>
        <w:rPr>
          <w:rFonts w:hint="eastAsia"/>
          <w:sz w:val="15"/>
          <w:szCs w:val="15"/>
          <w:highlight w:val="none"/>
          <w:lang w:val="en-US" w:eastAsia="zh-CN"/>
        </w:rPr>
        <w:t>130125198806234542</w:t>
      </w:r>
      <w:r>
        <w:rPr>
          <w:rFonts w:hint="eastAsia"/>
          <w:sz w:val="15"/>
          <w:szCs w:val="15"/>
        </w:rPr>
        <w:t xml:space="preserve">  </w:t>
      </w:r>
      <w:r>
        <w:rPr>
          <w:rFonts w:hint="eastAsia"/>
          <w:sz w:val="15"/>
          <w:szCs w:val="15"/>
          <w:lang w:val="en-US" w:eastAsia="zh-CN"/>
        </w:rPr>
        <w:t>冀AX9895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