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卢卫博</w:t>
      </w:r>
      <w:r>
        <w:rPr>
          <w:rFonts w:hint="eastAsia"/>
          <w:sz w:val="15"/>
          <w:szCs w:val="15"/>
          <w:highlight w:val="none"/>
        </w:rPr>
        <w:t>，</w:t>
      </w:r>
      <w:r>
        <w:rPr>
          <w:rFonts w:hint="eastAsia"/>
          <w:sz w:val="15"/>
          <w:szCs w:val="15"/>
          <w:highlight w:val="none"/>
          <w:lang w:val="en-US" w:eastAsia="zh-CN"/>
        </w:rPr>
        <w:t>130125198702025594</w:t>
      </w:r>
      <w:r>
        <w:rPr>
          <w:rFonts w:hint="eastAsia"/>
          <w:sz w:val="15"/>
          <w:szCs w:val="15"/>
        </w:rPr>
        <w:t xml:space="preserve">  </w:t>
      </w:r>
      <w:r>
        <w:rPr>
          <w:rFonts w:hint="eastAsia"/>
          <w:sz w:val="15"/>
          <w:szCs w:val="15"/>
          <w:lang w:val="en-US" w:eastAsia="zh-CN"/>
        </w:rPr>
        <w:t>沪A93290D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