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崔海彦</w:t>
      </w:r>
      <w:r>
        <w:rPr>
          <w:rFonts w:hint="eastAsia"/>
          <w:sz w:val="15"/>
          <w:szCs w:val="15"/>
          <w:highlight w:val="none"/>
        </w:rPr>
        <w:t>，</w:t>
      </w:r>
      <w:r>
        <w:rPr>
          <w:rFonts w:hint="eastAsia"/>
          <w:sz w:val="15"/>
          <w:szCs w:val="15"/>
          <w:highlight w:val="none"/>
          <w:lang w:val="en-US" w:eastAsia="zh-CN"/>
        </w:rPr>
        <w:t>130125198404100023</w:t>
      </w:r>
      <w:r>
        <w:rPr>
          <w:rFonts w:hint="eastAsia"/>
          <w:sz w:val="15"/>
          <w:szCs w:val="15"/>
        </w:rPr>
        <w:t xml:space="preserve">  </w:t>
      </w:r>
      <w:r>
        <w:rPr>
          <w:rFonts w:hint="eastAsia"/>
          <w:sz w:val="15"/>
          <w:szCs w:val="15"/>
          <w:lang w:val="en-US" w:eastAsia="zh-CN"/>
        </w:rPr>
        <w:t>冀A45923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