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卢彦</w:t>
      </w:r>
      <w:r>
        <w:rPr>
          <w:rFonts w:hint="eastAsia"/>
          <w:sz w:val="15"/>
          <w:szCs w:val="15"/>
          <w:highlight w:val="none"/>
        </w:rPr>
        <w:t>，</w:t>
      </w:r>
      <w:r>
        <w:rPr>
          <w:rFonts w:hint="eastAsia"/>
          <w:sz w:val="15"/>
          <w:szCs w:val="15"/>
          <w:highlight w:val="none"/>
          <w:lang w:val="en-US" w:eastAsia="zh-CN"/>
        </w:rPr>
        <w:t>130125198306255566</w:t>
      </w:r>
      <w:r>
        <w:rPr>
          <w:rFonts w:hint="eastAsia"/>
          <w:sz w:val="15"/>
          <w:szCs w:val="15"/>
        </w:rPr>
        <w:t xml:space="preserve">  </w:t>
      </w:r>
      <w:r>
        <w:rPr>
          <w:rFonts w:hint="eastAsia"/>
          <w:sz w:val="15"/>
          <w:szCs w:val="15"/>
          <w:lang w:val="en-US" w:eastAsia="zh-CN"/>
        </w:rPr>
        <w:t>冀AP7058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