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宋军朋</w:t>
      </w:r>
      <w:r>
        <w:rPr>
          <w:rFonts w:hint="eastAsia"/>
          <w:sz w:val="15"/>
          <w:szCs w:val="15"/>
          <w:highlight w:val="none"/>
        </w:rPr>
        <w:t>，</w:t>
      </w:r>
      <w:r>
        <w:rPr>
          <w:rFonts w:hint="eastAsia"/>
          <w:sz w:val="15"/>
          <w:szCs w:val="15"/>
          <w:highlight w:val="none"/>
          <w:lang w:val="en-US" w:eastAsia="zh-CN"/>
        </w:rPr>
        <w:t>130125198305053532</w:t>
      </w:r>
      <w:r>
        <w:rPr>
          <w:rFonts w:hint="eastAsia"/>
          <w:sz w:val="15"/>
          <w:szCs w:val="15"/>
        </w:rPr>
        <w:t xml:space="preserve">  </w:t>
      </w:r>
      <w:r>
        <w:rPr>
          <w:rFonts w:hint="eastAsia"/>
          <w:sz w:val="15"/>
          <w:szCs w:val="15"/>
          <w:lang w:val="en-US" w:eastAsia="zh-CN"/>
        </w:rPr>
        <w:t>冀A974C5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