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刘卫</w:t>
      </w:r>
      <w:r>
        <w:rPr>
          <w:rFonts w:hint="eastAsia"/>
          <w:sz w:val="15"/>
          <w:szCs w:val="15"/>
          <w:highlight w:val="none"/>
        </w:rPr>
        <w:t>，</w:t>
      </w:r>
      <w:r>
        <w:rPr>
          <w:rFonts w:hint="eastAsia"/>
          <w:sz w:val="15"/>
          <w:szCs w:val="15"/>
          <w:highlight w:val="none"/>
          <w:lang w:val="en-US" w:eastAsia="zh-CN"/>
        </w:rPr>
        <w:t>13012519821010806X</w:t>
      </w:r>
      <w:r>
        <w:rPr>
          <w:rFonts w:hint="eastAsia"/>
          <w:sz w:val="15"/>
          <w:szCs w:val="15"/>
        </w:rPr>
        <w:t xml:space="preserve">  </w:t>
      </w:r>
      <w:r>
        <w:rPr>
          <w:rFonts w:hint="eastAsia"/>
          <w:sz w:val="15"/>
          <w:szCs w:val="15"/>
          <w:lang w:val="en-US" w:eastAsia="zh-CN"/>
        </w:rPr>
        <w:t>冀ARL592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