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乔志刚</w:t>
      </w:r>
      <w:r>
        <w:rPr>
          <w:rFonts w:hint="eastAsia"/>
          <w:sz w:val="15"/>
          <w:szCs w:val="15"/>
          <w:highlight w:val="none"/>
        </w:rPr>
        <w:t>，</w:t>
      </w:r>
      <w:r>
        <w:rPr>
          <w:rFonts w:hint="eastAsia"/>
          <w:sz w:val="15"/>
          <w:szCs w:val="15"/>
          <w:highlight w:val="none"/>
          <w:lang w:val="en-US" w:eastAsia="zh-CN"/>
        </w:rPr>
        <w:t>13012519770720751X</w:t>
      </w:r>
      <w:r>
        <w:rPr>
          <w:rFonts w:hint="eastAsia"/>
          <w:sz w:val="15"/>
          <w:szCs w:val="15"/>
        </w:rPr>
        <w:t xml:space="preserve">  </w:t>
      </w:r>
      <w:r>
        <w:rPr>
          <w:rFonts w:hint="eastAsia"/>
          <w:sz w:val="15"/>
          <w:szCs w:val="15"/>
          <w:lang w:val="en-US" w:eastAsia="zh-CN"/>
        </w:rPr>
        <w:t>沪A13580A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