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樊荣梅</w:t>
      </w:r>
      <w:r>
        <w:rPr>
          <w:rFonts w:hint="eastAsia"/>
          <w:sz w:val="15"/>
          <w:szCs w:val="15"/>
          <w:highlight w:val="none"/>
        </w:rPr>
        <w:t>，</w:t>
      </w:r>
      <w:r>
        <w:rPr>
          <w:rFonts w:hint="eastAsia"/>
          <w:sz w:val="15"/>
          <w:szCs w:val="15"/>
          <w:highlight w:val="none"/>
          <w:lang w:val="en-US" w:eastAsia="zh-CN"/>
        </w:rPr>
        <w:t>130125197703123028</w:t>
      </w:r>
      <w:r>
        <w:rPr>
          <w:rFonts w:hint="eastAsia"/>
          <w:sz w:val="15"/>
          <w:szCs w:val="15"/>
        </w:rPr>
        <w:t xml:space="preserve">  </w:t>
      </w:r>
      <w:r>
        <w:rPr>
          <w:rFonts w:hint="eastAsia"/>
          <w:sz w:val="15"/>
          <w:szCs w:val="15"/>
          <w:lang w:val="en-US" w:eastAsia="zh-CN"/>
        </w:rPr>
        <w:t>冀A26111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