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张清清</w:t>
      </w:r>
      <w:r>
        <w:rPr>
          <w:rFonts w:hint="eastAsia"/>
          <w:sz w:val="15"/>
          <w:szCs w:val="15"/>
          <w:highlight w:val="none"/>
        </w:rPr>
        <w:t>，</w:t>
      </w:r>
      <w:r>
        <w:rPr>
          <w:rFonts w:hint="eastAsia"/>
          <w:sz w:val="15"/>
          <w:szCs w:val="15"/>
          <w:highlight w:val="none"/>
          <w:lang w:val="en-US" w:eastAsia="zh-CN"/>
        </w:rPr>
        <w:t>130123198607143354</w:t>
      </w:r>
      <w:r>
        <w:rPr>
          <w:rFonts w:hint="eastAsia"/>
          <w:sz w:val="15"/>
          <w:szCs w:val="15"/>
        </w:rPr>
        <w:t xml:space="preserve">  </w:t>
      </w:r>
      <w:r>
        <w:rPr>
          <w:rFonts w:hint="eastAsia"/>
          <w:sz w:val="15"/>
          <w:szCs w:val="15"/>
          <w:lang w:val="en-US" w:eastAsia="zh-CN"/>
        </w:rPr>
        <w:t>津A37159D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