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王立宁</w:t>
      </w:r>
      <w:r>
        <w:rPr>
          <w:rFonts w:hint="eastAsia"/>
          <w:sz w:val="15"/>
          <w:szCs w:val="15"/>
          <w:highlight w:val="none"/>
        </w:rPr>
        <w:t>，</w:t>
      </w:r>
      <w:r>
        <w:rPr>
          <w:rFonts w:hint="eastAsia"/>
          <w:sz w:val="15"/>
          <w:szCs w:val="15"/>
          <w:highlight w:val="none"/>
          <w:lang w:val="en-US" w:eastAsia="zh-CN"/>
        </w:rPr>
        <w:t>130123198110080079</w:t>
      </w:r>
      <w:r>
        <w:rPr>
          <w:rFonts w:hint="eastAsia"/>
          <w:sz w:val="15"/>
          <w:szCs w:val="15"/>
        </w:rPr>
        <w:t xml:space="preserve">  </w:t>
      </w:r>
      <w:r>
        <w:rPr>
          <w:rFonts w:hint="eastAsia"/>
          <w:sz w:val="15"/>
          <w:szCs w:val="15"/>
          <w:lang w:val="en-US" w:eastAsia="zh-CN"/>
        </w:rPr>
        <w:t>冀A149SA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