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吴川川</w:t>
      </w:r>
      <w:r>
        <w:rPr>
          <w:rFonts w:hint="eastAsia"/>
          <w:sz w:val="15"/>
          <w:szCs w:val="15"/>
          <w:highlight w:val="none"/>
        </w:rPr>
        <w:t>，</w:t>
      </w:r>
      <w:r>
        <w:rPr>
          <w:rFonts w:hint="eastAsia"/>
          <w:sz w:val="15"/>
          <w:szCs w:val="15"/>
          <w:highlight w:val="none"/>
          <w:lang w:val="en-US" w:eastAsia="zh-CN"/>
        </w:rPr>
        <w:t>130123198007124539</w:t>
      </w:r>
      <w:r>
        <w:rPr>
          <w:rFonts w:hint="eastAsia"/>
          <w:sz w:val="15"/>
          <w:szCs w:val="15"/>
        </w:rPr>
        <w:t xml:space="preserve">  </w:t>
      </w:r>
      <w:r>
        <w:rPr>
          <w:rFonts w:hint="eastAsia"/>
          <w:sz w:val="15"/>
          <w:szCs w:val="15"/>
          <w:lang w:val="en-US" w:eastAsia="zh-CN"/>
        </w:rPr>
        <w:t>冀AY1545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