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周玉鹏</w:t>
      </w:r>
      <w:r>
        <w:rPr>
          <w:rFonts w:hint="eastAsia"/>
          <w:sz w:val="15"/>
          <w:szCs w:val="15"/>
          <w:highlight w:val="none"/>
        </w:rPr>
        <w:t>，</w:t>
      </w:r>
      <w:r>
        <w:rPr>
          <w:rFonts w:hint="eastAsia"/>
          <w:sz w:val="15"/>
          <w:szCs w:val="15"/>
          <w:highlight w:val="none"/>
          <w:lang w:val="en-US" w:eastAsia="zh-CN"/>
        </w:rPr>
        <w:t>130123198006135412</w:t>
      </w:r>
      <w:r>
        <w:rPr>
          <w:rFonts w:hint="eastAsia"/>
          <w:sz w:val="15"/>
          <w:szCs w:val="15"/>
        </w:rPr>
        <w:t xml:space="preserve">  </w:t>
      </w:r>
      <w:r>
        <w:rPr>
          <w:rFonts w:hint="eastAsia"/>
          <w:sz w:val="15"/>
          <w:szCs w:val="15"/>
          <w:lang w:val="en-US" w:eastAsia="zh-CN"/>
        </w:rPr>
        <w:t>冀A456GF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