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樊玉玲</w:t>
      </w:r>
      <w:r>
        <w:rPr>
          <w:rFonts w:hint="eastAsia"/>
          <w:sz w:val="15"/>
          <w:szCs w:val="15"/>
          <w:highlight w:val="none"/>
        </w:rPr>
        <w:t>，</w:t>
      </w:r>
      <w:r>
        <w:rPr>
          <w:rFonts w:hint="eastAsia"/>
          <w:sz w:val="15"/>
          <w:szCs w:val="15"/>
          <w:highlight w:val="none"/>
          <w:lang w:val="en-US" w:eastAsia="zh-CN"/>
        </w:rPr>
        <w:t>130123197903231522</w:t>
      </w:r>
      <w:r>
        <w:rPr>
          <w:rFonts w:hint="eastAsia"/>
          <w:sz w:val="15"/>
          <w:szCs w:val="15"/>
        </w:rPr>
        <w:t xml:space="preserve">  </w:t>
      </w:r>
      <w:r>
        <w:rPr>
          <w:rFonts w:hint="eastAsia"/>
          <w:sz w:val="15"/>
          <w:szCs w:val="15"/>
          <w:lang w:val="en-US" w:eastAsia="zh-CN"/>
        </w:rPr>
        <w:t>冀A951JY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