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高旗子</w:t>
      </w:r>
      <w:r>
        <w:rPr>
          <w:rFonts w:hint="eastAsia"/>
          <w:sz w:val="15"/>
          <w:szCs w:val="15"/>
          <w:highlight w:val="none"/>
        </w:rPr>
        <w:t>，</w:t>
      </w:r>
      <w:r>
        <w:rPr>
          <w:rFonts w:hint="eastAsia"/>
          <w:sz w:val="15"/>
          <w:szCs w:val="15"/>
          <w:highlight w:val="none"/>
          <w:lang w:val="en-US" w:eastAsia="zh-CN"/>
        </w:rPr>
        <w:t>130123197709281219</w:t>
      </w:r>
      <w:r>
        <w:rPr>
          <w:rFonts w:hint="eastAsia"/>
          <w:sz w:val="15"/>
          <w:szCs w:val="15"/>
        </w:rPr>
        <w:t xml:space="preserve">  </w:t>
      </w:r>
      <w:r>
        <w:rPr>
          <w:rFonts w:hint="eastAsia"/>
          <w:sz w:val="15"/>
          <w:szCs w:val="15"/>
          <w:lang w:val="en-US" w:eastAsia="zh-CN"/>
        </w:rPr>
        <w:t>冀T06066D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