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刘立坤</w:t>
      </w:r>
      <w:r>
        <w:rPr>
          <w:rFonts w:hint="eastAsia"/>
          <w:sz w:val="15"/>
          <w:szCs w:val="15"/>
          <w:highlight w:val="none"/>
        </w:rPr>
        <w:t>，</w:t>
      </w:r>
      <w:r>
        <w:rPr>
          <w:rFonts w:hint="eastAsia"/>
          <w:sz w:val="15"/>
          <w:szCs w:val="15"/>
          <w:highlight w:val="none"/>
          <w:lang w:val="en-US" w:eastAsia="zh-CN"/>
        </w:rPr>
        <w:t>130123197404250913</w:t>
      </w:r>
      <w:r>
        <w:rPr>
          <w:rFonts w:hint="eastAsia"/>
          <w:sz w:val="15"/>
          <w:szCs w:val="15"/>
        </w:rPr>
        <w:t xml:space="preserve">  </w:t>
      </w:r>
      <w:r>
        <w:rPr>
          <w:rFonts w:hint="eastAsia"/>
          <w:sz w:val="15"/>
          <w:szCs w:val="15"/>
          <w:lang w:val="en-US" w:eastAsia="zh-CN"/>
        </w:rPr>
        <w:t>冀A2158V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