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李新江</w:t>
      </w:r>
      <w:r>
        <w:rPr>
          <w:rFonts w:hint="eastAsia"/>
          <w:sz w:val="15"/>
          <w:szCs w:val="15"/>
          <w:highlight w:val="none"/>
        </w:rPr>
        <w:t>，</w:t>
      </w:r>
      <w:r>
        <w:rPr>
          <w:rFonts w:hint="eastAsia"/>
          <w:sz w:val="15"/>
          <w:szCs w:val="15"/>
          <w:highlight w:val="none"/>
          <w:lang w:val="en-US" w:eastAsia="zh-CN"/>
        </w:rPr>
        <w:t>130123197312235417</w:t>
      </w:r>
      <w:r>
        <w:rPr>
          <w:rFonts w:hint="eastAsia"/>
          <w:sz w:val="15"/>
          <w:szCs w:val="15"/>
        </w:rPr>
        <w:t xml:space="preserve">  </w:t>
      </w:r>
      <w:r>
        <w:rPr>
          <w:rFonts w:hint="eastAsia"/>
          <w:sz w:val="15"/>
          <w:szCs w:val="15"/>
          <w:lang w:val="en-US" w:eastAsia="zh-CN"/>
        </w:rPr>
        <w:t>冀AKU076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