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张国立</w:t>
      </w:r>
      <w:r>
        <w:rPr>
          <w:rFonts w:hint="eastAsia"/>
          <w:sz w:val="15"/>
          <w:szCs w:val="15"/>
          <w:highlight w:val="none"/>
        </w:rPr>
        <w:t>，</w:t>
      </w:r>
      <w:r>
        <w:rPr>
          <w:rFonts w:hint="eastAsia"/>
          <w:sz w:val="15"/>
          <w:szCs w:val="15"/>
          <w:highlight w:val="none"/>
          <w:lang w:val="en-US" w:eastAsia="zh-CN"/>
        </w:rPr>
        <w:t>130123197302100914</w:t>
      </w:r>
      <w:r>
        <w:rPr>
          <w:rFonts w:hint="eastAsia"/>
          <w:sz w:val="15"/>
          <w:szCs w:val="15"/>
        </w:rPr>
        <w:t xml:space="preserve">  </w:t>
      </w:r>
      <w:r>
        <w:rPr>
          <w:rFonts w:hint="eastAsia"/>
          <w:sz w:val="15"/>
          <w:szCs w:val="15"/>
          <w:lang w:val="en-US" w:eastAsia="zh-CN"/>
        </w:rPr>
        <w:t>冀A37605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