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李英凯</w:t>
      </w:r>
      <w:r>
        <w:rPr>
          <w:rFonts w:hint="eastAsia"/>
          <w:sz w:val="15"/>
          <w:szCs w:val="15"/>
          <w:highlight w:val="none"/>
        </w:rPr>
        <w:t>，</w:t>
      </w:r>
      <w:r>
        <w:rPr>
          <w:rFonts w:hint="eastAsia"/>
          <w:sz w:val="15"/>
          <w:szCs w:val="15"/>
          <w:highlight w:val="none"/>
          <w:lang w:val="en-US" w:eastAsia="zh-CN"/>
        </w:rPr>
        <w:t>130122198105162217</w:t>
      </w:r>
      <w:r>
        <w:rPr>
          <w:rFonts w:hint="eastAsia"/>
          <w:sz w:val="15"/>
          <w:szCs w:val="15"/>
        </w:rPr>
        <w:t xml:space="preserve">  </w:t>
      </w:r>
      <w:r>
        <w:rPr>
          <w:rFonts w:hint="eastAsia"/>
          <w:sz w:val="15"/>
          <w:szCs w:val="15"/>
          <w:lang w:val="en-US" w:eastAsia="zh-CN"/>
        </w:rPr>
        <w:t>冀A071UL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