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杜艳民</w:t>
      </w:r>
      <w:r>
        <w:rPr>
          <w:rFonts w:hint="eastAsia"/>
          <w:sz w:val="15"/>
          <w:szCs w:val="15"/>
          <w:highlight w:val="none"/>
        </w:rPr>
        <w:t>，</w:t>
      </w:r>
      <w:r>
        <w:rPr>
          <w:rFonts w:hint="eastAsia"/>
          <w:sz w:val="15"/>
          <w:szCs w:val="15"/>
          <w:highlight w:val="none"/>
          <w:lang w:val="en-US" w:eastAsia="zh-CN"/>
        </w:rPr>
        <w:t>130122197404145914</w:t>
      </w:r>
      <w:r>
        <w:rPr>
          <w:rFonts w:hint="eastAsia"/>
          <w:sz w:val="15"/>
          <w:szCs w:val="15"/>
        </w:rPr>
        <w:t xml:space="preserve">  </w:t>
      </w:r>
      <w:r>
        <w:rPr>
          <w:rFonts w:hint="eastAsia"/>
          <w:sz w:val="15"/>
          <w:szCs w:val="15"/>
          <w:lang w:val="en-US" w:eastAsia="zh-CN"/>
        </w:rPr>
        <w:t>冀A01968D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