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王鹤霞</w:t>
      </w:r>
      <w:r>
        <w:rPr>
          <w:rFonts w:hint="eastAsia"/>
          <w:sz w:val="15"/>
          <w:szCs w:val="15"/>
          <w:highlight w:val="none"/>
        </w:rPr>
        <w:t>，</w:t>
      </w:r>
      <w:r>
        <w:rPr>
          <w:rFonts w:hint="eastAsia"/>
          <w:sz w:val="15"/>
          <w:szCs w:val="15"/>
          <w:highlight w:val="none"/>
          <w:lang w:val="en-US" w:eastAsia="zh-CN"/>
        </w:rPr>
        <w:t>130121199607231022</w:t>
      </w:r>
      <w:r>
        <w:rPr>
          <w:rFonts w:hint="eastAsia"/>
          <w:sz w:val="15"/>
          <w:szCs w:val="15"/>
        </w:rPr>
        <w:t xml:space="preserve">  </w:t>
      </w:r>
      <w:r>
        <w:rPr>
          <w:rFonts w:hint="eastAsia"/>
          <w:sz w:val="15"/>
          <w:szCs w:val="15"/>
          <w:lang w:val="en-US" w:eastAsia="zh-CN"/>
        </w:rPr>
        <w:t>冀A3967U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