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于跃</w:t>
      </w:r>
      <w:r>
        <w:rPr>
          <w:rFonts w:hint="eastAsia"/>
          <w:sz w:val="15"/>
          <w:szCs w:val="15"/>
          <w:highlight w:val="none"/>
        </w:rPr>
        <w:t>，</w:t>
      </w:r>
      <w:r>
        <w:rPr>
          <w:rFonts w:hint="eastAsia"/>
          <w:sz w:val="15"/>
          <w:szCs w:val="15"/>
          <w:highlight w:val="none"/>
          <w:lang w:val="en-US" w:eastAsia="zh-CN"/>
        </w:rPr>
        <w:t>130121199605141015</w:t>
      </w:r>
      <w:r>
        <w:rPr>
          <w:rFonts w:hint="eastAsia"/>
          <w:sz w:val="15"/>
          <w:szCs w:val="15"/>
        </w:rPr>
        <w:t xml:space="preserve">  </w:t>
      </w:r>
      <w:r>
        <w:rPr>
          <w:rFonts w:hint="eastAsia"/>
          <w:sz w:val="15"/>
          <w:szCs w:val="15"/>
          <w:lang w:val="en-US" w:eastAsia="zh-CN"/>
        </w:rPr>
        <w:t>冀AU6490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