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张振华</w:t>
      </w:r>
      <w:r>
        <w:rPr>
          <w:rFonts w:hint="eastAsia"/>
          <w:sz w:val="15"/>
          <w:szCs w:val="15"/>
          <w:highlight w:val="none"/>
        </w:rPr>
        <w:t>，</w:t>
      </w:r>
      <w:r>
        <w:rPr>
          <w:rFonts w:hint="eastAsia"/>
          <w:sz w:val="15"/>
          <w:szCs w:val="15"/>
          <w:highlight w:val="none"/>
          <w:lang w:val="en-US" w:eastAsia="zh-CN"/>
        </w:rPr>
        <w:t>13012119870806103X</w:t>
      </w:r>
      <w:r>
        <w:rPr>
          <w:rFonts w:hint="eastAsia"/>
          <w:sz w:val="15"/>
          <w:szCs w:val="15"/>
        </w:rPr>
        <w:t xml:space="preserve">  </w:t>
      </w:r>
      <w:r>
        <w:rPr>
          <w:rFonts w:hint="eastAsia"/>
          <w:sz w:val="15"/>
          <w:szCs w:val="15"/>
          <w:lang w:val="en-US" w:eastAsia="zh-CN"/>
        </w:rPr>
        <w:t>冀A59998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