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李志霞</w:t>
      </w:r>
      <w:r>
        <w:rPr>
          <w:rFonts w:hint="eastAsia"/>
          <w:sz w:val="15"/>
          <w:szCs w:val="15"/>
          <w:highlight w:val="none"/>
        </w:rPr>
        <w:t>，</w:t>
      </w:r>
      <w:r>
        <w:rPr>
          <w:rFonts w:hint="eastAsia"/>
          <w:sz w:val="15"/>
          <w:szCs w:val="15"/>
          <w:highlight w:val="none"/>
          <w:lang w:val="en-US" w:eastAsia="zh-CN"/>
        </w:rPr>
        <w:t>130121198703251029</w:t>
      </w:r>
      <w:r>
        <w:rPr>
          <w:rFonts w:hint="eastAsia"/>
          <w:sz w:val="15"/>
          <w:szCs w:val="15"/>
        </w:rPr>
        <w:t xml:space="preserve">  </w:t>
      </w:r>
      <w:r>
        <w:rPr>
          <w:rFonts w:hint="eastAsia"/>
          <w:sz w:val="15"/>
          <w:szCs w:val="15"/>
          <w:lang w:val="en-US" w:eastAsia="zh-CN"/>
        </w:rPr>
        <w:t>冀A588TD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