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毕二君</w:t>
      </w:r>
      <w:r>
        <w:rPr>
          <w:rFonts w:hint="eastAsia"/>
          <w:sz w:val="15"/>
          <w:szCs w:val="15"/>
          <w:highlight w:val="none"/>
        </w:rPr>
        <w:t>，</w:t>
      </w:r>
      <w:r>
        <w:rPr>
          <w:rFonts w:hint="eastAsia"/>
          <w:sz w:val="15"/>
          <w:szCs w:val="15"/>
          <w:highlight w:val="none"/>
          <w:lang w:val="en-US" w:eastAsia="zh-CN"/>
        </w:rPr>
        <w:t>130121198509213010</w:t>
      </w:r>
      <w:r>
        <w:rPr>
          <w:rFonts w:hint="eastAsia"/>
          <w:sz w:val="15"/>
          <w:szCs w:val="15"/>
        </w:rPr>
        <w:t xml:space="preserve">  </w:t>
      </w:r>
      <w:r>
        <w:rPr>
          <w:rFonts w:hint="eastAsia"/>
          <w:sz w:val="15"/>
          <w:szCs w:val="15"/>
          <w:lang w:val="en-US" w:eastAsia="zh-CN"/>
        </w:rPr>
        <w:t>冀A62498</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