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于江</w:t>
      </w:r>
      <w:r>
        <w:rPr>
          <w:rFonts w:hint="eastAsia"/>
          <w:sz w:val="15"/>
          <w:szCs w:val="15"/>
          <w:highlight w:val="none"/>
        </w:rPr>
        <w:t>，</w:t>
      </w:r>
      <w:r>
        <w:rPr>
          <w:rFonts w:hint="eastAsia"/>
          <w:sz w:val="15"/>
          <w:szCs w:val="15"/>
          <w:highlight w:val="none"/>
          <w:lang w:val="en-US" w:eastAsia="zh-CN"/>
        </w:rPr>
        <w:t>130121198507101015</w:t>
      </w:r>
      <w:r>
        <w:rPr>
          <w:rFonts w:hint="eastAsia"/>
          <w:sz w:val="15"/>
          <w:szCs w:val="15"/>
        </w:rPr>
        <w:t xml:space="preserve">  </w:t>
      </w:r>
      <w:r>
        <w:rPr>
          <w:rFonts w:hint="eastAsia"/>
          <w:sz w:val="15"/>
          <w:szCs w:val="15"/>
          <w:lang w:val="en-US" w:eastAsia="zh-CN"/>
        </w:rPr>
        <w:t>冀AKQ220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