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赵彦明</w:t>
      </w:r>
      <w:r>
        <w:rPr>
          <w:rFonts w:hint="eastAsia"/>
          <w:sz w:val="15"/>
          <w:szCs w:val="15"/>
          <w:highlight w:val="none"/>
        </w:rPr>
        <w:t>，</w:t>
      </w:r>
      <w:r>
        <w:rPr>
          <w:rFonts w:hint="eastAsia"/>
          <w:sz w:val="15"/>
          <w:szCs w:val="15"/>
          <w:highlight w:val="none"/>
          <w:lang w:val="en-US" w:eastAsia="zh-CN"/>
        </w:rPr>
        <w:t>130121198301152415</w:t>
      </w:r>
      <w:r>
        <w:rPr>
          <w:rFonts w:hint="eastAsia"/>
          <w:sz w:val="15"/>
          <w:szCs w:val="15"/>
        </w:rPr>
        <w:t xml:space="preserve">  </w:t>
      </w:r>
      <w:r>
        <w:rPr>
          <w:rFonts w:hint="eastAsia"/>
          <w:sz w:val="15"/>
          <w:szCs w:val="15"/>
          <w:lang w:val="en-US" w:eastAsia="zh-CN"/>
        </w:rPr>
        <w:t>冀AH3558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