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高亮亮</w:t>
      </w:r>
      <w:r>
        <w:rPr>
          <w:rFonts w:hint="eastAsia"/>
          <w:sz w:val="15"/>
          <w:szCs w:val="15"/>
          <w:highlight w:val="none"/>
        </w:rPr>
        <w:t>，</w:t>
      </w:r>
      <w:r>
        <w:rPr>
          <w:rFonts w:hint="eastAsia"/>
          <w:sz w:val="15"/>
          <w:szCs w:val="15"/>
          <w:highlight w:val="none"/>
          <w:lang w:val="en-US" w:eastAsia="zh-CN"/>
        </w:rPr>
        <w:t>130121198212081811</w:t>
      </w:r>
      <w:r>
        <w:rPr>
          <w:rFonts w:hint="eastAsia"/>
          <w:sz w:val="15"/>
          <w:szCs w:val="15"/>
        </w:rPr>
        <w:t xml:space="preserve">  </w:t>
      </w:r>
      <w:r>
        <w:rPr>
          <w:rFonts w:hint="eastAsia"/>
          <w:sz w:val="15"/>
          <w:szCs w:val="15"/>
          <w:lang w:val="en-US" w:eastAsia="zh-CN"/>
        </w:rPr>
        <w:t>冀A27584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