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李志敏</w:t>
      </w:r>
      <w:r>
        <w:rPr>
          <w:rFonts w:hint="eastAsia"/>
          <w:sz w:val="15"/>
          <w:szCs w:val="15"/>
          <w:highlight w:val="none"/>
        </w:rPr>
        <w:t>，</w:t>
      </w:r>
      <w:r>
        <w:rPr>
          <w:rFonts w:hint="eastAsia"/>
          <w:sz w:val="15"/>
          <w:szCs w:val="15"/>
          <w:highlight w:val="none"/>
          <w:lang w:val="en-US" w:eastAsia="zh-CN"/>
        </w:rPr>
        <w:t>130121198212011012</w:t>
      </w:r>
      <w:r>
        <w:rPr>
          <w:rFonts w:hint="eastAsia"/>
          <w:sz w:val="15"/>
          <w:szCs w:val="15"/>
        </w:rPr>
        <w:t xml:space="preserve">  </w:t>
      </w:r>
      <w:r>
        <w:rPr>
          <w:rFonts w:hint="eastAsia"/>
          <w:sz w:val="15"/>
          <w:szCs w:val="15"/>
          <w:lang w:val="en-US" w:eastAsia="zh-CN"/>
        </w:rPr>
        <w:t>冀A83976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