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武永刚</w:t>
      </w:r>
      <w:r>
        <w:rPr>
          <w:rFonts w:hint="eastAsia"/>
          <w:sz w:val="15"/>
          <w:szCs w:val="15"/>
          <w:highlight w:val="none"/>
        </w:rPr>
        <w:t>，</w:t>
      </w:r>
      <w:r>
        <w:rPr>
          <w:rFonts w:hint="eastAsia"/>
          <w:sz w:val="15"/>
          <w:szCs w:val="15"/>
          <w:highlight w:val="none"/>
          <w:lang w:val="en-US" w:eastAsia="zh-CN"/>
        </w:rPr>
        <w:t>13012119810625183X</w:t>
      </w:r>
      <w:r>
        <w:rPr>
          <w:rFonts w:hint="eastAsia"/>
          <w:sz w:val="15"/>
          <w:szCs w:val="15"/>
        </w:rPr>
        <w:t xml:space="preserve">  </w:t>
      </w:r>
      <w:r>
        <w:rPr>
          <w:rFonts w:hint="eastAsia"/>
          <w:sz w:val="15"/>
          <w:szCs w:val="15"/>
          <w:lang w:val="en-US" w:eastAsia="zh-CN"/>
        </w:rPr>
        <w:t>冀A989FF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