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高进伟</w:t>
      </w:r>
      <w:r>
        <w:rPr>
          <w:rFonts w:hint="eastAsia"/>
          <w:sz w:val="15"/>
          <w:szCs w:val="15"/>
          <w:highlight w:val="none"/>
        </w:rPr>
        <w:t>，</w:t>
      </w:r>
      <w:r>
        <w:rPr>
          <w:rFonts w:hint="eastAsia"/>
          <w:sz w:val="15"/>
          <w:szCs w:val="15"/>
          <w:highlight w:val="none"/>
          <w:lang w:val="en-US" w:eastAsia="zh-CN"/>
        </w:rPr>
        <w:t>130121198010222815</w:t>
      </w:r>
      <w:r>
        <w:rPr>
          <w:rFonts w:hint="eastAsia"/>
          <w:sz w:val="15"/>
          <w:szCs w:val="15"/>
        </w:rPr>
        <w:t xml:space="preserve">  </w:t>
      </w:r>
      <w:r>
        <w:rPr>
          <w:rFonts w:hint="eastAsia"/>
          <w:sz w:val="15"/>
          <w:szCs w:val="15"/>
          <w:lang w:val="en-US" w:eastAsia="zh-CN"/>
        </w:rPr>
        <w:t>沪A31886A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