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崔志强</w:t>
      </w:r>
      <w:r>
        <w:rPr>
          <w:rFonts w:hint="eastAsia"/>
          <w:sz w:val="15"/>
          <w:szCs w:val="15"/>
          <w:highlight w:val="none"/>
        </w:rPr>
        <w:t>，</w:t>
      </w:r>
      <w:r>
        <w:rPr>
          <w:rFonts w:hint="eastAsia"/>
          <w:sz w:val="15"/>
          <w:szCs w:val="15"/>
          <w:highlight w:val="none"/>
          <w:lang w:val="en-US" w:eastAsia="zh-CN"/>
        </w:rPr>
        <w:t>130121197807242819</w:t>
      </w:r>
      <w:r>
        <w:rPr>
          <w:rFonts w:hint="eastAsia"/>
          <w:sz w:val="15"/>
          <w:szCs w:val="15"/>
        </w:rPr>
        <w:t xml:space="preserve">  </w:t>
      </w:r>
      <w:r>
        <w:rPr>
          <w:rFonts w:hint="eastAsia"/>
          <w:sz w:val="15"/>
          <w:szCs w:val="15"/>
          <w:lang w:val="en-US" w:eastAsia="zh-CN"/>
        </w:rPr>
        <w:t>冀A246AJ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