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杨志强</w:t>
      </w:r>
      <w:r>
        <w:rPr>
          <w:rFonts w:hint="eastAsia"/>
          <w:sz w:val="15"/>
          <w:szCs w:val="15"/>
          <w:highlight w:val="none"/>
        </w:rPr>
        <w:t>，</w:t>
      </w:r>
      <w:r>
        <w:rPr>
          <w:rFonts w:hint="eastAsia"/>
          <w:sz w:val="15"/>
          <w:szCs w:val="15"/>
          <w:highlight w:val="none"/>
          <w:lang w:val="en-US" w:eastAsia="zh-CN"/>
        </w:rPr>
        <w:t>130121197710171057</w:t>
      </w:r>
      <w:r>
        <w:rPr>
          <w:rFonts w:hint="eastAsia"/>
          <w:sz w:val="15"/>
          <w:szCs w:val="15"/>
        </w:rPr>
        <w:t xml:space="preserve">  </w:t>
      </w:r>
      <w:r>
        <w:rPr>
          <w:rFonts w:hint="eastAsia"/>
          <w:sz w:val="15"/>
          <w:szCs w:val="15"/>
          <w:lang w:val="en-US" w:eastAsia="zh-CN"/>
        </w:rPr>
        <w:t>冀A1262W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