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李国民</w:t>
      </w:r>
      <w:r>
        <w:rPr>
          <w:rFonts w:hint="eastAsia"/>
          <w:sz w:val="15"/>
          <w:szCs w:val="15"/>
          <w:highlight w:val="none"/>
        </w:rPr>
        <w:t>，</w:t>
      </w:r>
      <w:r>
        <w:rPr>
          <w:rFonts w:hint="eastAsia"/>
          <w:sz w:val="15"/>
          <w:szCs w:val="15"/>
          <w:highlight w:val="none"/>
          <w:lang w:val="en-US" w:eastAsia="zh-CN"/>
        </w:rPr>
        <w:t>130121197709171017</w:t>
      </w:r>
      <w:r>
        <w:rPr>
          <w:rFonts w:hint="eastAsia"/>
          <w:sz w:val="15"/>
          <w:szCs w:val="15"/>
        </w:rPr>
        <w:t xml:space="preserve">  </w:t>
      </w:r>
      <w:r>
        <w:rPr>
          <w:rFonts w:hint="eastAsia"/>
          <w:sz w:val="15"/>
          <w:szCs w:val="15"/>
          <w:lang w:val="en-US" w:eastAsia="zh-CN"/>
        </w:rPr>
        <w:t>冀A80X54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