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王勇</w:t>
      </w:r>
      <w:r>
        <w:rPr>
          <w:rFonts w:hint="eastAsia"/>
          <w:sz w:val="15"/>
          <w:szCs w:val="15"/>
          <w:highlight w:val="none"/>
        </w:rPr>
        <w:t>，</w:t>
      </w:r>
      <w:r>
        <w:rPr>
          <w:rFonts w:hint="eastAsia"/>
          <w:sz w:val="15"/>
          <w:szCs w:val="15"/>
          <w:highlight w:val="none"/>
          <w:lang w:val="en-US" w:eastAsia="zh-CN"/>
        </w:rPr>
        <w:t>130121197501250816</w:t>
      </w:r>
      <w:r>
        <w:rPr>
          <w:rFonts w:hint="eastAsia"/>
          <w:sz w:val="15"/>
          <w:szCs w:val="15"/>
        </w:rPr>
        <w:t xml:space="preserve">  </w:t>
      </w:r>
      <w:r>
        <w:rPr>
          <w:rFonts w:hint="eastAsia"/>
          <w:sz w:val="15"/>
          <w:szCs w:val="15"/>
          <w:lang w:val="en-US" w:eastAsia="zh-CN"/>
        </w:rPr>
        <w:t>冀AJ3488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