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杨青峰</w:t>
      </w:r>
      <w:r>
        <w:rPr>
          <w:rFonts w:hint="eastAsia"/>
          <w:sz w:val="15"/>
          <w:szCs w:val="15"/>
          <w:highlight w:val="none"/>
        </w:rPr>
        <w:t>，</w:t>
      </w:r>
      <w:r>
        <w:rPr>
          <w:rFonts w:hint="eastAsia"/>
          <w:sz w:val="15"/>
          <w:szCs w:val="15"/>
          <w:highlight w:val="none"/>
          <w:lang w:val="en-US" w:eastAsia="zh-CN"/>
        </w:rPr>
        <w:t>130121197207102433</w:t>
      </w:r>
      <w:r>
        <w:rPr>
          <w:rFonts w:hint="eastAsia"/>
          <w:sz w:val="15"/>
          <w:szCs w:val="15"/>
        </w:rPr>
        <w:t xml:space="preserve">  </w:t>
      </w:r>
      <w:r>
        <w:rPr>
          <w:rFonts w:hint="eastAsia"/>
          <w:sz w:val="15"/>
          <w:szCs w:val="15"/>
          <w:lang w:val="en-US" w:eastAsia="zh-CN"/>
        </w:rPr>
        <w:t>冀AKF118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