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李志文</w:t>
      </w:r>
      <w:r>
        <w:rPr>
          <w:rFonts w:hint="eastAsia"/>
          <w:sz w:val="15"/>
          <w:szCs w:val="15"/>
          <w:highlight w:val="none"/>
        </w:rPr>
        <w:t>，</w:t>
      </w:r>
      <w:r>
        <w:rPr>
          <w:rFonts w:hint="eastAsia"/>
          <w:sz w:val="15"/>
          <w:szCs w:val="15"/>
          <w:highlight w:val="none"/>
          <w:lang w:val="en-US" w:eastAsia="zh-CN"/>
        </w:rPr>
        <w:t>130121197107291038</w:t>
      </w:r>
      <w:r>
        <w:rPr>
          <w:rFonts w:hint="eastAsia"/>
          <w:sz w:val="15"/>
          <w:szCs w:val="15"/>
        </w:rPr>
        <w:t xml:space="preserve">  </w:t>
      </w:r>
      <w:r>
        <w:rPr>
          <w:rFonts w:hint="eastAsia"/>
          <w:sz w:val="15"/>
          <w:szCs w:val="15"/>
          <w:lang w:val="en-US" w:eastAsia="zh-CN"/>
        </w:rPr>
        <w:t>冀A35022D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