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冯兵顺</w:t>
      </w:r>
      <w:r>
        <w:rPr>
          <w:rFonts w:hint="eastAsia"/>
          <w:sz w:val="15"/>
          <w:szCs w:val="15"/>
          <w:highlight w:val="none"/>
        </w:rPr>
        <w:t>，</w:t>
      </w:r>
      <w:r>
        <w:rPr>
          <w:rFonts w:hint="eastAsia"/>
          <w:sz w:val="15"/>
          <w:szCs w:val="15"/>
          <w:highlight w:val="none"/>
          <w:lang w:val="en-US" w:eastAsia="zh-CN"/>
        </w:rPr>
        <w:t>130121196511112615</w:t>
      </w:r>
      <w:r>
        <w:rPr>
          <w:rFonts w:hint="eastAsia"/>
          <w:sz w:val="15"/>
          <w:szCs w:val="15"/>
        </w:rPr>
        <w:t xml:space="preserve">  </w:t>
      </w:r>
      <w:r>
        <w:rPr>
          <w:rFonts w:hint="eastAsia"/>
          <w:sz w:val="15"/>
          <w:szCs w:val="15"/>
          <w:lang w:val="en-US" w:eastAsia="zh-CN"/>
        </w:rPr>
        <w:t>沪A86887D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