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毕浩然</w:t>
      </w:r>
      <w:r>
        <w:rPr>
          <w:rFonts w:hint="eastAsia"/>
          <w:sz w:val="15"/>
          <w:szCs w:val="15"/>
          <w:highlight w:val="none"/>
        </w:rPr>
        <w:t>，</w:t>
      </w:r>
      <w:r>
        <w:rPr>
          <w:rFonts w:hint="eastAsia"/>
          <w:sz w:val="15"/>
          <w:szCs w:val="15"/>
          <w:highlight w:val="none"/>
          <w:lang w:val="en-US" w:eastAsia="zh-CN"/>
        </w:rPr>
        <w:t>13010720050331151X</w:t>
      </w:r>
      <w:r>
        <w:rPr>
          <w:rFonts w:hint="eastAsia"/>
          <w:sz w:val="15"/>
          <w:szCs w:val="15"/>
        </w:rPr>
        <w:t xml:space="preserve">  </w:t>
      </w:r>
      <w:r>
        <w:rPr>
          <w:rFonts w:hint="eastAsia"/>
          <w:sz w:val="15"/>
          <w:szCs w:val="15"/>
          <w:lang w:val="en-US" w:eastAsia="zh-CN"/>
        </w:rPr>
        <w:t>冀A3711Q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