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王海龙</w:t>
      </w:r>
      <w:r>
        <w:rPr>
          <w:rFonts w:hint="eastAsia"/>
          <w:sz w:val="15"/>
          <w:szCs w:val="15"/>
          <w:highlight w:val="none"/>
        </w:rPr>
        <w:t>，</w:t>
      </w:r>
      <w:r>
        <w:rPr>
          <w:rFonts w:hint="eastAsia"/>
          <w:sz w:val="15"/>
          <w:szCs w:val="15"/>
          <w:highlight w:val="none"/>
          <w:lang w:val="en-US" w:eastAsia="zh-CN"/>
        </w:rPr>
        <w:t>130107199001231514</w:t>
      </w:r>
      <w:r>
        <w:rPr>
          <w:rFonts w:hint="eastAsia"/>
          <w:sz w:val="15"/>
          <w:szCs w:val="15"/>
        </w:rPr>
        <w:t xml:space="preserve">  </w:t>
      </w:r>
      <w:r>
        <w:rPr>
          <w:rFonts w:hint="eastAsia"/>
          <w:sz w:val="15"/>
          <w:szCs w:val="15"/>
          <w:lang w:val="en-US" w:eastAsia="zh-CN"/>
        </w:rPr>
        <w:t>冀AC3019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