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张春彦</w:t>
      </w:r>
      <w:r>
        <w:rPr>
          <w:rFonts w:hint="eastAsia"/>
          <w:sz w:val="15"/>
          <w:szCs w:val="15"/>
          <w:highlight w:val="none"/>
        </w:rPr>
        <w:t>，</w:t>
      </w:r>
      <w:r>
        <w:rPr>
          <w:rFonts w:hint="eastAsia"/>
          <w:sz w:val="15"/>
          <w:szCs w:val="15"/>
          <w:highlight w:val="none"/>
          <w:lang w:val="en-US" w:eastAsia="zh-CN"/>
        </w:rPr>
        <w:t>130107198312102125</w:t>
      </w:r>
      <w:r>
        <w:rPr>
          <w:rFonts w:hint="eastAsia"/>
          <w:sz w:val="15"/>
          <w:szCs w:val="15"/>
        </w:rPr>
        <w:t xml:space="preserve">  </w:t>
      </w:r>
      <w:r>
        <w:rPr>
          <w:rFonts w:hint="eastAsia"/>
          <w:sz w:val="15"/>
          <w:szCs w:val="15"/>
          <w:lang w:val="en-US" w:eastAsia="zh-CN"/>
        </w:rPr>
        <w:t>冀A5G966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