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耿志军</w:t>
      </w:r>
      <w:r>
        <w:rPr>
          <w:rFonts w:hint="eastAsia"/>
          <w:sz w:val="15"/>
          <w:szCs w:val="15"/>
          <w:highlight w:val="none"/>
        </w:rPr>
        <w:t>，</w:t>
      </w:r>
      <w:r>
        <w:rPr>
          <w:rFonts w:hint="eastAsia"/>
          <w:sz w:val="15"/>
          <w:szCs w:val="15"/>
          <w:highlight w:val="none"/>
          <w:lang w:val="en-US" w:eastAsia="zh-CN"/>
        </w:rPr>
        <w:t>13010719820406183X</w:t>
      </w:r>
      <w:r>
        <w:rPr>
          <w:rFonts w:hint="eastAsia"/>
          <w:sz w:val="15"/>
          <w:szCs w:val="15"/>
        </w:rPr>
        <w:t xml:space="preserve">  </w:t>
      </w:r>
      <w:r>
        <w:rPr>
          <w:rFonts w:hint="eastAsia"/>
          <w:sz w:val="15"/>
          <w:szCs w:val="15"/>
          <w:lang w:val="en-US" w:eastAsia="zh-CN"/>
        </w:rPr>
        <w:t>冀A40428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