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李会明</w:t>
      </w:r>
      <w:r>
        <w:rPr>
          <w:rFonts w:hint="eastAsia"/>
          <w:sz w:val="15"/>
          <w:szCs w:val="15"/>
          <w:highlight w:val="none"/>
        </w:rPr>
        <w:t>，</w:t>
      </w:r>
      <w:r>
        <w:rPr>
          <w:rFonts w:hint="eastAsia"/>
          <w:sz w:val="15"/>
          <w:szCs w:val="15"/>
          <w:highlight w:val="none"/>
          <w:lang w:val="en-US" w:eastAsia="zh-CN"/>
        </w:rPr>
        <w:t>130107197805222112</w:t>
      </w:r>
      <w:r>
        <w:rPr>
          <w:rFonts w:hint="eastAsia"/>
          <w:sz w:val="15"/>
          <w:szCs w:val="15"/>
        </w:rPr>
        <w:t xml:space="preserve">  </w:t>
      </w:r>
      <w:r>
        <w:rPr>
          <w:rFonts w:hint="eastAsia"/>
          <w:sz w:val="15"/>
          <w:szCs w:val="15"/>
          <w:lang w:val="en-US" w:eastAsia="zh-CN"/>
        </w:rPr>
        <w:t>冀A2340C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