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宋二刚</w:t>
      </w:r>
      <w:r>
        <w:rPr>
          <w:rFonts w:hint="eastAsia"/>
          <w:sz w:val="15"/>
          <w:szCs w:val="15"/>
          <w:highlight w:val="none"/>
        </w:rPr>
        <w:t>，</w:t>
      </w:r>
      <w:r>
        <w:rPr>
          <w:rFonts w:hint="eastAsia"/>
          <w:sz w:val="15"/>
          <w:szCs w:val="15"/>
          <w:highlight w:val="none"/>
          <w:lang w:val="en-US" w:eastAsia="zh-CN"/>
        </w:rPr>
        <w:t>130107197604292114</w:t>
      </w:r>
      <w:r>
        <w:rPr>
          <w:rFonts w:hint="eastAsia"/>
          <w:sz w:val="15"/>
          <w:szCs w:val="15"/>
        </w:rPr>
        <w:t xml:space="preserve">  </w:t>
      </w:r>
      <w:r>
        <w:rPr>
          <w:rFonts w:hint="eastAsia"/>
          <w:sz w:val="15"/>
          <w:szCs w:val="15"/>
          <w:lang w:val="en-US" w:eastAsia="zh-CN"/>
        </w:rPr>
        <w:t>冀AM5640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