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刘志伟</w:t>
      </w:r>
      <w:r>
        <w:rPr>
          <w:rFonts w:hint="eastAsia"/>
          <w:sz w:val="15"/>
          <w:szCs w:val="15"/>
          <w:highlight w:val="none"/>
        </w:rPr>
        <w:t>，</w:t>
      </w:r>
      <w:r>
        <w:rPr>
          <w:rFonts w:hint="eastAsia"/>
          <w:sz w:val="15"/>
          <w:szCs w:val="15"/>
          <w:highlight w:val="none"/>
          <w:lang w:val="en-US" w:eastAsia="zh-CN"/>
        </w:rPr>
        <w:t>120224198010175310</w:t>
      </w:r>
      <w:r>
        <w:rPr>
          <w:rFonts w:hint="eastAsia"/>
          <w:sz w:val="15"/>
          <w:szCs w:val="15"/>
        </w:rPr>
        <w:t xml:space="preserve">  </w:t>
      </w:r>
      <w:r>
        <w:rPr>
          <w:rFonts w:hint="eastAsia"/>
          <w:sz w:val="15"/>
          <w:szCs w:val="15"/>
          <w:lang w:val="en-US" w:eastAsia="zh-CN"/>
        </w:rPr>
        <w:t>冀B5490K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