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赵守军</w:t>
      </w:r>
      <w:r>
        <w:rPr>
          <w:rFonts w:hint="eastAsia"/>
          <w:sz w:val="15"/>
          <w:szCs w:val="15"/>
          <w:highlight w:val="none"/>
        </w:rPr>
        <w:t>，</w:t>
      </w:r>
      <w:r>
        <w:rPr>
          <w:rFonts w:hint="eastAsia"/>
          <w:sz w:val="15"/>
          <w:szCs w:val="15"/>
          <w:highlight w:val="none"/>
          <w:lang w:val="en-US" w:eastAsia="zh-CN"/>
        </w:rPr>
        <w:t>612526197409068878</w:t>
      </w:r>
      <w:r>
        <w:rPr>
          <w:rFonts w:hint="eastAsia"/>
          <w:sz w:val="15"/>
          <w:szCs w:val="15"/>
        </w:rPr>
        <w:t xml:space="preserve">  </w:t>
      </w:r>
      <w:r>
        <w:rPr>
          <w:rFonts w:hint="eastAsia"/>
          <w:sz w:val="15"/>
          <w:szCs w:val="15"/>
          <w:lang w:val="en-US" w:eastAsia="zh-CN"/>
        </w:rPr>
        <w:t>冀A39159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