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王文才</w:t>
      </w:r>
      <w:r>
        <w:rPr>
          <w:rFonts w:hint="eastAsia"/>
          <w:sz w:val="15"/>
          <w:szCs w:val="15"/>
          <w:highlight w:val="none"/>
        </w:rPr>
        <w:t>，</w:t>
      </w:r>
      <w:r>
        <w:rPr>
          <w:rFonts w:hint="eastAsia"/>
          <w:sz w:val="15"/>
          <w:szCs w:val="15"/>
          <w:highlight w:val="none"/>
          <w:lang w:val="en-US" w:eastAsia="zh-CN"/>
        </w:rPr>
        <w:t>232103197911083718</w:t>
      </w:r>
      <w:r>
        <w:rPr>
          <w:rFonts w:hint="eastAsia"/>
          <w:sz w:val="15"/>
          <w:szCs w:val="15"/>
        </w:rPr>
        <w:t xml:space="preserve">  </w:t>
      </w:r>
      <w:r>
        <w:rPr>
          <w:rFonts w:hint="eastAsia"/>
          <w:sz w:val="15"/>
          <w:szCs w:val="15"/>
          <w:lang w:val="en-US" w:eastAsia="zh-CN"/>
        </w:rPr>
        <w:t>冀B3909Z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